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pageBreakBefore w:val="0"/>
        <w:pBdr>
          <w:top w:space="0" w:sz="0" w:val="nil"/>
          <w:left w:space="0" w:sz="0" w:val="nil"/>
          <w:bottom w:space="0" w:sz="0" w:val="nil"/>
          <w:right w:space="0" w:sz="0" w:val="nil"/>
          <w:between w:space="0" w:sz="0" w:val="nil"/>
        </w:pBdr>
        <w:shd w:fill="auto" w:val="clear"/>
        <w:spacing w:before="0" w:lineRule="auto"/>
        <w:rPr>
          <w:color w:val="8c7252"/>
        </w:rPr>
      </w:pPr>
      <w:bookmarkStart w:colFirst="0" w:colLast="0" w:name="_tb0pswljnfq9" w:id="0"/>
      <w:bookmarkEnd w:id="0"/>
      <w:r w:rsidDel="00000000" w:rsidR="00000000" w:rsidRPr="00000000">
        <w:rPr>
          <w:color w:val="8c7252"/>
          <w:rtl w:val="0"/>
        </w:rPr>
        <w:t xml:space="preserve">Name____________________________________ Date______ Class____</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Pr>
        <w:drawing>
          <wp:inline distB="114300" distT="114300" distL="114300" distR="114300">
            <wp:extent cx="5943600" cy="38100"/>
            <wp:effectExtent b="0" l="0" r="0" t="0"/>
            <wp:docPr descr="horizontal line" id="7" name="image2.png"/>
            <a:graphic>
              <a:graphicData uri="http://schemas.openxmlformats.org/drawingml/2006/picture">
                <pic:pic>
                  <pic:nvPicPr>
                    <pic:cNvPr descr="horizontal line" id="0" name="image2.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before="0" w:line="276" w:lineRule="auto"/>
        <w:rPr>
          <w:sz w:val="30"/>
          <w:szCs w:val="30"/>
        </w:rPr>
      </w:pPr>
      <w:hyperlink r:id="rId7">
        <w:r w:rsidDel="00000000" w:rsidR="00000000" w:rsidRPr="00000000">
          <w:rPr>
            <w:rFonts w:ascii="Times New Roman" w:cs="Times New Roman" w:eastAsia="Times New Roman" w:hAnsi="Times New Roman"/>
            <w:i w:val="1"/>
            <w:iCs w:val="1"/>
            <w:color w:val="1155cc"/>
            <w:sz w:val="20"/>
            <w:szCs w:val="20"/>
            <w:u w:val="single"/>
            <w:rtl w:val="0"/>
          </w:rPr>
          <w:t xml:space="preserve">This Lab is adapted from a lesson plan created by NJ SeaGrant</w:t>
        </w:r>
      </w:hyperlink>
      <w:r w:rsidDel="00000000" w:rsidR="00000000" w:rsidRPr="00000000">
        <w:rPr>
          <w:rFonts w:ascii="Economica" w:cs="Economica" w:eastAsia="Economica" w:hAnsi="Economica"/>
          <w:rtl w:val="0"/>
        </w:rPr>
        <w:tab/>
      </w:r>
      <w:r w:rsidDel="00000000" w:rsidR="00000000" w:rsidRPr="00000000">
        <w:rPr>
          <w:rtl w:val="0"/>
        </w:rPr>
      </w:r>
    </w:p>
    <w:p w:rsidR="00000000" w:rsidDel="00000000" w:rsidP="00000000" w:rsidRDefault="00000000" w:rsidRPr="00000000" w14:paraId="00000004">
      <w:pPr>
        <w:pStyle w:val="Heading1"/>
        <w:rPr>
          <w:b w:val="0"/>
          <w:bCs w:val="0"/>
          <w:sz w:val="30"/>
          <w:szCs w:val="30"/>
        </w:rPr>
      </w:pPr>
      <w:bookmarkStart w:colFirst="0" w:colLast="0" w:name="_bou5rw5bme68" w:id="1"/>
      <w:bookmarkEnd w:id="1"/>
      <w:r w:rsidDel="00000000" w:rsidR="00000000" w:rsidRPr="00000000">
        <w:rPr>
          <w:sz w:val="30"/>
          <w:szCs w:val="30"/>
          <w:rtl w:val="0"/>
        </w:rPr>
        <w:t xml:space="preserve">Combustion Lab:</w:t>
      </w:r>
      <w:r w:rsidDel="00000000" w:rsidR="00000000" w:rsidRPr="00000000">
        <w:rPr>
          <w:b w:val="0"/>
          <w:bCs w:val="0"/>
          <w:sz w:val="30"/>
          <w:szCs w:val="30"/>
          <w:rtl w:val="0"/>
        </w:rPr>
        <w:t xml:space="preserve"> How does burning fossil fuels affect ocean pH?</w:t>
      </w:r>
    </w:p>
    <w:p w:rsidR="00000000" w:rsidDel="00000000" w:rsidP="00000000" w:rsidRDefault="00000000" w:rsidRPr="00000000" w14:paraId="00000005">
      <w:pPr>
        <w:pStyle w:val="Heading2"/>
        <w:rPr/>
      </w:pPr>
      <w:bookmarkStart w:colFirst="0" w:colLast="0" w:name="_8s88wqznvma" w:id="2"/>
      <w:bookmarkEnd w:id="2"/>
      <w:r w:rsidDel="00000000" w:rsidR="00000000" w:rsidRPr="00000000">
        <w:rPr>
          <w:rtl w:val="0"/>
        </w:rPr>
        <w:t xml:space="preserve">Introduction:</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this lab activity, you will perform a simple experiment to observe how humans create CO</w:t>
      </w:r>
      <w:r w:rsidDel="00000000" w:rsidR="00000000" w:rsidRPr="00000000">
        <w:rPr>
          <w:vertAlign w:val="subscript"/>
          <w:rtl w:val="0"/>
        </w:rPr>
        <w:t xml:space="preserve">2</w:t>
      </w:r>
      <w:r w:rsidDel="00000000" w:rsidR="00000000" w:rsidRPr="00000000">
        <w:rPr>
          <w:rtl w:val="0"/>
        </w:rPr>
        <w:t xml:space="preserve"> by combustion and how easily CO</w:t>
      </w:r>
      <w:r w:rsidDel="00000000" w:rsidR="00000000" w:rsidRPr="00000000">
        <w:rPr>
          <w:vertAlign w:val="subscript"/>
          <w:rtl w:val="0"/>
        </w:rPr>
        <w:t xml:space="preserve">2</w:t>
      </w:r>
      <w:r w:rsidDel="00000000" w:rsidR="00000000" w:rsidRPr="00000000">
        <w:rPr>
          <w:rtl w:val="0"/>
        </w:rPr>
        <w:t xml:space="preserve"> is absorbed by water. The burning (or combustion) of the candle represents the burning of fossil fuels, the air in the combustion test tube represents the Earth’s atmosphere, and the water represents the ocean. The pouring of water into the combustion test tube represents how wind, waves, and ocean currents physically move seawater, which allows CO</w:t>
      </w:r>
      <w:r w:rsidDel="00000000" w:rsidR="00000000" w:rsidRPr="00000000">
        <w:rPr>
          <w:vertAlign w:val="subscript"/>
          <w:rtl w:val="0"/>
        </w:rPr>
        <w:t xml:space="preserve">2</w:t>
      </w:r>
      <w:r w:rsidDel="00000000" w:rsidR="00000000" w:rsidRPr="00000000">
        <w:rPr>
          <w:rtl w:val="0"/>
        </w:rPr>
        <w:t xml:space="preserve"> to dissolve into it. The Bromothymol blue (BTB) helps students to better visualize the change.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Combustion is the process of burning organic material in the presence of oxygen to produce heat energy, CO</w:t>
      </w:r>
      <w:r w:rsidDel="00000000" w:rsidR="00000000" w:rsidRPr="00000000">
        <w:rPr>
          <w:vertAlign w:val="subscript"/>
          <w:rtl w:val="0"/>
        </w:rPr>
        <w:t xml:space="preserve">2</w:t>
      </w:r>
      <w:r w:rsidDel="00000000" w:rsidR="00000000" w:rsidRPr="00000000">
        <w:rPr>
          <w:rtl w:val="0"/>
        </w:rPr>
        <w:t xml:space="preserve">, and water. Examples of some organic materials include wood, paper, and fossil fuels (natural gas, oil, or coal). These organic materials, and other organic materials that combust, all consist of carbon and hydrogen. They may also include oxygen and some other elements. When the organic material is burned in a complete reaction, the carbon releases in the form of CO</w:t>
      </w:r>
      <w:r w:rsidDel="00000000" w:rsidR="00000000" w:rsidRPr="00000000">
        <w:rPr>
          <w:vertAlign w:val="subscript"/>
          <w:rtl w:val="0"/>
        </w:rPr>
        <w:t xml:space="preserve">2</w:t>
      </w:r>
      <w:r w:rsidDel="00000000" w:rsidR="00000000" w:rsidRPr="00000000">
        <w:rPr>
          <w:rtl w:val="0"/>
        </w:rPr>
        <w:t xml:space="preserve">. About 25-40% of the CO</w:t>
      </w:r>
      <w:r w:rsidDel="00000000" w:rsidR="00000000" w:rsidRPr="00000000">
        <w:rPr>
          <w:vertAlign w:val="subscript"/>
          <w:rtl w:val="0"/>
        </w:rPr>
        <w:t xml:space="preserve">2</w:t>
      </w:r>
      <w:r w:rsidDel="00000000" w:rsidR="00000000" w:rsidRPr="00000000">
        <w:rPr>
          <w:rtl w:val="0"/>
        </w:rPr>
        <w:t xml:space="preserve"> from the burning of fuels is dissolved in water and will affect the pH of the water.</w:t>
      </w:r>
    </w:p>
    <w:p w:rsidR="00000000" w:rsidDel="00000000" w:rsidP="00000000" w:rsidRDefault="00000000" w:rsidRPr="00000000" w14:paraId="00000008">
      <w:pPr>
        <w:pStyle w:val="Heading2"/>
        <w:pageBreakBefore w:val="0"/>
        <w:pBdr>
          <w:top w:space="0" w:sz="0" w:val="nil"/>
          <w:left w:space="0" w:sz="0" w:val="nil"/>
          <w:bottom w:space="0" w:sz="0" w:val="nil"/>
          <w:right w:space="0" w:sz="0" w:val="nil"/>
          <w:between w:space="0" w:sz="0" w:val="nil"/>
        </w:pBdr>
        <w:shd w:fill="auto" w:val="clear"/>
        <w:rPr/>
      </w:pPr>
      <w:bookmarkStart w:colFirst="0" w:colLast="0" w:name="_6p0l8sr83i6o" w:id="3"/>
      <w:bookmarkEnd w:id="3"/>
      <w:r w:rsidDel="00000000" w:rsidR="00000000" w:rsidRPr="00000000">
        <w:rPr>
          <w:rtl w:val="0"/>
        </w:rPr>
        <w:t xml:space="preserve">Materials:</w:t>
      </w:r>
    </w:p>
    <w:p w:rsidR="00000000" w:rsidDel="00000000" w:rsidP="00000000" w:rsidRDefault="00000000" w:rsidRPr="00000000" w14:paraId="00000009">
      <w:pPr>
        <w:pageBreakBefore w:val="0"/>
        <w:numPr>
          <w:ilvl w:val="1"/>
          <w:numId w:val="2"/>
        </w:numPr>
        <w:pBdr>
          <w:top w:space="0" w:sz="0" w:val="nil"/>
          <w:left w:space="0" w:sz="0" w:val="nil"/>
          <w:bottom w:space="0" w:sz="0" w:val="nil"/>
          <w:right w:space="0" w:sz="0" w:val="nil"/>
          <w:between w:space="0" w:sz="0" w:val="nil"/>
        </w:pBdr>
        <w:shd w:fill="auto" w:val="clear"/>
        <w:spacing w:after="0" w:afterAutospacing="0"/>
        <w:ind w:left="1440" w:hanging="360"/>
        <w:rPr/>
      </w:pPr>
      <w:r w:rsidDel="00000000" w:rsidR="00000000" w:rsidRPr="00000000">
        <w:rPr>
          <w:rtl w:val="0"/>
        </w:rPr>
        <w:t xml:space="preserve">Dilute Bromothymol blue (BTB)</w:t>
      </w:r>
    </w:p>
    <w:p w:rsidR="00000000" w:rsidDel="00000000" w:rsidP="00000000" w:rsidRDefault="00000000" w:rsidRPr="00000000" w14:paraId="0000000A">
      <w:pPr>
        <w:pageBreakBefore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ind w:left="1440" w:hanging="360"/>
        <w:rPr/>
      </w:pPr>
      <w:r w:rsidDel="00000000" w:rsidR="00000000" w:rsidRPr="00000000">
        <w:rPr>
          <w:rtl w:val="0"/>
        </w:rPr>
        <w:t xml:space="preserve">Two test tubes with stoppers. </w:t>
      </w:r>
    </w:p>
    <w:p w:rsidR="00000000" w:rsidDel="00000000" w:rsidP="00000000" w:rsidRDefault="00000000" w:rsidRPr="00000000" w14:paraId="0000000B">
      <w:pPr>
        <w:pageBreakBefore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ind w:left="1440" w:hanging="360"/>
        <w:rPr/>
      </w:pPr>
      <w:r w:rsidDel="00000000" w:rsidR="00000000" w:rsidRPr="00000000">
        <w:rPr>
          <w:rtl w:val="0"/>
        </w:rPr>
        <w:t xml:space="preserve">A candle </w:t>
      </w:r>
    </w:p>
    <w:p w:rsidR="00000000" w:rsidDel="00000000" w:rsidP="00000000" w:rsidRDefault="00000000" w:rsidRPr="00000000" w14:paraId="0000000C">
      <w:pPr>
        <w:pageBreakBefore w:val="0"/>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ind w:left="1440" w:hanging="360"/>
        <w:rPr/>
      </w:pPr>
      <w:r w:rsidDel="00000000" w:rsidR="00000000" w:rsidRPr="00000000">
        <w:rPr>
          <w:rtl w:val="0"/>
        </w:rPr>
        <w:t xml:space="preserve">A match or some other device to light the candle</w:t>
      </w:r>
    </w:p>
    <w:p w:rsidR="00000000" w:rsidDel="00000000" w:rsidP="00000000" w:rsidRDefault="00000000" w:rsidRPr="00000000" w14:paraId="0000000D">
      <w:pPr>
        <w:pageBreakBefore w:val="0"/>
        <w:numPr>
          <w:ilvl w:val="1"/>
          <w:numId w:val="2"/>
        </w:numPr>
        <w:pBdr>
          <w:top w:space="0" w:sz="0" w:val="nil"/>
          <w:left w:space="0" w:sz="0" w:val="nil"/>
          <w:bottom w:space="0" w:sz="0" w:val="nil"/>
          <w:right w:space="0" w:sz="0" w:val="nil"/>
          <w:between w:space="0" w:sz="0" w:val="nil"/>
        </w:pBdr>
        <w:shd w:fill="auto" w:val="clear"/>
        <w:spacing w:before="0" w:beforeAutospacing="0"/>
        <w:ind w:left="1440" w:hanging="360"/>
        <w:rPr/>
      </w:pPr>
      <w:r w:rsidDel="00000000" w:rsidR="00000000" w:rsidRPr="00000000">
        <w:rPr>
          <w:rtl w:val="0"/>
        </w:rPr>
        <w:t xml:space="preserve">Lab notebook or sheet of paper</w:t>
      </w:r>
    </w:p>
    <w:p w:rsidR="00000000" w:rsidDel="00000000" w:rsidP="00000000" w:rsidRDefault="00000000" w:rsidRPr="00000000" w14:paraId="0000000E">
      <w:pPr>
        <w:pStyle w:val="Heading2"/>
        <w:rPr>
          <w:b w:val="0"/>
          <w:bCs w:val="0"/>
        </w:rPr>
      </w:pPr>
      <w:bookmarkStart w:colFirst="0" w:colLast="0" w:name="_attlnz5cfb12" w:id="4"/>
      <w:bookmarkEnd w:id="4"/>
      <w:r w:rsidDel="00000000" w:rsidR="00000000" w:rsidRPr="00000000">
        <w:rPr>
          <w:rtl w:val="0"/>
        </w:rPr>
        <w:t xml:space="preserve">Procedure: </w:t>
      </w:r>
      <w:r w:rsidDel="00000000" w:rsidR="00000000" w:rsidRPr="00000000">
        <w:rPr>
          <w:b w:val="0"/>
          <w:bCs w:val="0"/>
          <w:rtl w:val="0"/>
        </w:rPr>
        <w:t xml:space="preserve">Please read through all the steps before you begin.</w:t>
      </w:r>
    </w:p>
    <w:p w:rsidR="00000000" w:rsidDel="00000000" w:rsidP="00000000" w:rsidRDefault="00000000" w:rsidRPr="00000000" w14:paraId="0000000F">
      <w:pPr>
        <w:rPr/>
      </w:pPr>
      <w:r w:rsidDel="00000000" w:rsidR="00000000" w:rsidRPr="00000000">
        <w:rPr>
          <w:rtl w:val="0"/>
        </w:rPr>
        <w:t xml:space="preserve">Step 1: Label your two test tubes “air” and “combustion.” </w:t>
      </w:r>
    </w:p>
    <w:p w:rsidR="00000000" w:rsidDel="00000000" w:rsidP="00000000" w:rsidRDefault="00000000" w:rsidRPr="00000000" w14:paraId="00000010">
      <w:pPr>
        <w:rPr/>
      </w:pPr>
      <w:r w:rsidDel="00000000" w:rsidR="00000000" w:rsidRPr="00000000">
        <w:rPr>
          <w:rtl w:val="0"/>
        </w:rPr>
        <w:t xml:space="preserve">Step 2: Pour approximately 5mL of dilute BTB into the test tube labeled “air.” Then cap the test tube and shake it for approximately 10 seconds. </w:t>
      </w:r>
    </w:p>
    <w:p w:rsidR="00000000" w:rsidDel="00000000" w:rsidP="00000000" w:rsidRDefault="00000000" w:rsidRPr="00000000" w14:paraId="00000011">
      <w:pPr>
        <w:ind w:firstLine="720"/>
        <w:rPr/>
      </w:pPr>
      <w:r w:rsidDel="00000000" w:rsidR="00000000" w:rsidRPr="00000000">
        <w:rPr>
          <w:rtl w:val="0"/>
        </w:rPr>
        <w:t xml:space="preserve">Make sure to observe the BTB solution. Do you notice any color change?</w:t>
      </w:r>
    </w:p>
    <w:p w:rsidR="00000000" w:rsidDel="00000000" w:rsidP="00000000" w:rsidRDefault="00000000" w:rsidRPr="00000000" w14:paraId="00000012">
      <w:pPr>
        <w:rPr/>
      </w:pPr>
      <w:r w:rsidDel="00000000" w:rsidR="00000000" w:rsidRPr="00000000">
        <w:rPr>
          <w:rtl w:val="0"/>
        </w:rPr>
        <w:t xml:space="preserve">Step 3: Set the “air” test tube aside and record your observations in your lab notebook. </w:t>
      </w:r>
    </w:p>
    <w:p w:rsidR="00000000" w:rsidDel="00000000" w:rsidP="00000000" w:rsidRDefault="00000000" w:rsidRPr="00000000" w14:paraId="00000013">
      <w:pPr>
        <w:rPr/>
      </w:pPr>
      <w:r w:rsidDel="00000000" w:rsidR="00000000" w:rsidRPr="00000000">
        <w:rPr>
          <w:rtl w:val="0"/>
        </w:rPr>
        <w:t xml:space="preserve">Step 4: Light the candle. </w:t>
      </w:r>
    </w:p>
    <w:p w:rsidR="00000000" w:rsidDel="00000000" w:rsidP="00000000" w:rsidRDefault="00000000" w:rsidRPr="00000000" w14:paraId="00000014">
      <w:pPr>
        <w:rPr/>
      </w:pPr>
      <w:r w:rsidDel="00000000" w:rsidR="00000000" w:rsidRPr="00000000">
        <w:rPr>
          <w:rtl w:val="0"/>
        </w:rPr>
        <w:t xml:space="preserve">Step 5: Uncap the test tube labeled “combustion” and hold it upside down above the flame for 10 seconds. </w:t>
      </w:r>
    </w:p>
    <w:p w:rsidR="00000000" w:rsidDel="00000000" w:rsidP="00000000" w:rsidRDefault="00000000" w:rsidRPr="00000000" w14:paraId="00000015">
      <w:pPr>
        <w:rPr/>
      </w:pPr>
      <w:r w:rsidDel="00000000" w:rsidR="00000000" w:rsidRPr="00000000">
        <w:rPr>
          <w:rtl w:val="0"/>
        </w:rPr>
        <w:t xml:space="preserve">Step 6: While the test tube is still upside down, cap it. </w:t>
      </w:r>
    </w:p>
    <w:p w:rsidR="00000000" w:rsidDel="00000000" w:rsidP="00000000" w:rsidRDefault="00000000" w:rsidRPr="00000000" w14:paraId="00000016">
      <w:pPr>
        <w:rPr/>
      </w:pPr>
      <w:r w:rsidDel="00000000" w:rsidR="00000000" w:rsidRPr="00000000">
        <w:rPr>
          <w:rtl w:val="0"/>
        </w:rPr>
        <w:t xml:space="preserve">Step 7: Once capped, the “combustion” test tube may be inverted. Then uncap the BTB solution.</w:t>
      </w:r>
    </w:p>
    <w:p w:rsidR="00000000" w:rsidDel="00000000" w:rsidP="00000000" w:rsidRDefault="00000000" w:rsidRPr="00000000" w14:paraId="00000017">
      <w:pPr>
        <w:rPr/>
      </w:pPr>
      <w:r w:rsidDel="00000000" w:rsidR="00000000" w:rsidRPr="00000000">
        <w:rPr>
          <w:rtl w:val="0"/>
        </w:rPr>
        <w:t xml:space="preserve">Step 8: Carefully uncap the “combustion” test tube and replace the cap with your thumb. Roll your thumb to create a  very small opening and quickly pour approximately 5mL of dilute BTB  solution into the test tube. </w:t>
      </w:r>
    </w:p>
    <w:p w:rsidR="00000000" w:rsidDel="00000000" w:rsidP="00000000" w:rsidRDefault="00000000" w:rsidRPr="00000000" w14:paraId="00000018">
      <w:pPr>
        <w:rPr/>
      </w:pPr>
      <w:r w:rsidDel="00000000" w:rsidR="00000000" w:rsidRPr="00000000">
        <w:rPr>
          <w:rtl w:val="0"/>
        </w:rPr>
        <w:t xml:space="preserve">Step 9: Recap the “combustion” test tube and shake for approximately 10 seconds.</w:t>
      </w:r>
    </w:p>
    <w:p w:rsidR="00000000" w:rsidDel="00000000" w:rsidP="00000000" w:rsidRDefault="00000000" w:rsidRPr="00000000" w14:paraId="00000019">
      <w:pPr>
        <w:rPr/>
      </w:pPr>
      <w:r w:rsidDel="00000000" w:rsidR="00000000" w:rsidRPr="00000000">
        <w:rPr>
          <w:rtl w:val="0"/>
        </w:rPr>
        <w:t xml:space="preserve">Step 10: Compare the BTB in the test tube  labeled “air” to the BTB in the test tube labeled “combustion.” Record your observations in your lab notebook.</w:t>
      </w:r>
      <w:r w:rsidDel="00000000" w:rsidR="00000000" w:rsidRPr="00000000">
        <w:drawing>
          <wp:anchor allowOverlap="1" behindDoc="0" distB="114300" distT="114300" distL="114300" distR="114300" hidden="0" layoutInCell="1" locked="0" relativeHeight="0" simplePos="0">
            <wp:simplePos x="0" y="0"/>
            <wp:positionH relativeFrom="column">
              <wp:posOffset>3019425</wp:posOffset>
            </wp:positionH>
            <wp:positionV relativeFrom="paragraph">
              <wp:posOffset>723900</wp:posOffset>
            </wp:positionV>
            <wp:extent cx="457200" cy="1362075"/>
            <wp:effectExtent b="0" l="0" r="0" t="0"/>
            <wp:wrapSquare wrapText="bothSides" distB="114300" distT="114300" distL="114300" distR="114300"/>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57200" cy="13620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76201</wp:posOffset>
            </wp:positionH>
            <wp:positionV relativeFrom="paragraph">
              <wp:posOffset>728663</wp:posOffset>
            </wp:positionV>
            <wp:extent cx="457200" cy="1352550"/>
            <wp:effectExtent b="0" l="0" r="0" t="0"/>
            <wp:wrapSquare wrapText="bothSides" distB="114300" distT="114300" distL="114300" distR="114300"/>
            <wp:docPr id="4"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457200" cy="1352550"/>
                    </a:xfrm>
                    <a:prstGeom prst="rect"/>
                    <a:ln/>
                  </pic:spPr>
                </pic:pic>
              </a:graphicData>
            </a:graphic>
          </wp:anchor>
        </w:drawing>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rHeight w:val="28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6"/>
                <w:szCs w:val="26"/>
              </w:rPr>
            </w:pPr>
            <w:r w:rsidDel="00000000" w:rsidR="00000000" w:rsidRPr="00000000">
              <w:rPr>
                <w:b w:val="1"/>
                <w:bCs w:val="1"/>
                <w:sz w:val="26"/>
                <w:szCs w:val="26"/>
                <w:u w:val="single"/>
                <w:rtl w:val="0"/>
              </w:rPr>
              <w:t xml:space="preserve">Air</w:t>
            </w:r>
            <w:r w:rsidDel="00000000" w:rsidR="00000000" w:rsidRPr="00000000">
              <w:rPr>
                <w:b w:val="1"/>
                <w:bCs w:val="1"/>
                <w:sz w:val="26"/>
                <w:szCs w:val="26"/>
                <w:rtl w:val="0"/>
              </w:rPr>
              <w:t xml:space="preserve"> test tube observations: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widowControl w:val="0"/>
              <w:spacing w:before="0" w:line="240" w:lineRule="auto"/>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widowControl w:val="0"/>
              <w:spacing w:before="0" w:line="240" w:lineRule="auto"/>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widowControl w:val="0"/>
              <w:spacing w:before="0" w:line="240" w:lineRule="auto"/>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6"/>
                <w:szCs w:val="2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before="0" w:line="240" w:lineRule="auto"/>
              <w:ind w:left="720" w:firstLine="0"/>
              <w:rPr>
                <w:b w:val="1"/>
                <w:bCs w:val="1"/>
                <w:sz w:val="26"/>
                <w:szCs w:val="26"/>
              </w:rPr>
            </w:pPr>
            <w:r w:rsidDel="00000000" w:rsidR="00000000" w:rsidRPr="00000000">
              <w:rPr>
                <w:b w:val="1"/>
                <w:bCs w:val="1"/>
                <w:sz w:val="26"/>
                <w:szCs w:val="26"/>
                <w:u w:val="single"/>
                <w:rtl w:val="0"/>
              </w:rPr>
              <w:t xml:space="preserve">Combustion</w:t>
            </w:r>
            <w:r w:rsidDel="00000000" w:rsidR="00000000" w:rsidRPr="00000000">
              <w:rPr>
                <w:b w:val="1"/>
                <w:bCs w:val="1"/>
                <w:sz w:val="26"/>
                <w:szCs w:val="26"/>
                <w:rtl w:val="0"/>
              </w:rPr>
              <w:t xml:space="preserve"> test tube observations:</w:t>
            </w:r>
          </w:p>
          <w:p w:rsidR="00000000" w:rsidDel="00000000" w:rsidP="00000000" w:rsidRDefault="00000000" w:rsidRPr="00000000" w14:paraId="00000022">
            <w:pPr>
              <w:widowControl w:val="0"/>
              <w:spacing w:before="0" w:line="240" w:lineRule="auto"/>
              <w:ind w:left="720" w:firstLine="0"/>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widowControl w:val="0"/>
              <w:spacing w:before="0" w:line="240" w:lineRule="auto"/>
              <w:ind w:left="720" w:firstLine="0"/>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widowControl w:val="0"/>
              <w:spacing w:before="0" w:line="240" w:lineRule="auto"/>
              <w:ind w:left="720" w:firstLine="0"/>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widowControl w:val="0"/>
              <w:spacing w:before="0" w:line="240" w:lineRule="auto"/>
              <w:ind w:left="720" w:firstLine="0"/>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widowControl w:val="0"/>
              <w:spacing w:before="0" w:line="240" w:lineRule="auto"/>
              <w:ind w:left="720" w:firstLine="0"/>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tc>
      </w:tr>
    </w:tbl>
    <w:p w:rsidR="00000000" w:rsidDel="00000000" w:rsidP="00000000" w:rsidRDefault="00000000" w:rsidRPr="00000000" w14:paraId="00000027">
      <w:pPr>
        <w:pStyle w:val="Heading2"/>
        <w:rPr/>
      </w:pPr>
      <w:bookmarkStart w:colFirst="0" w:colLast="0" w:name="_93vyowb7uqf6" w:id="5"/>
      <w:bookmarkEnd w:id="5"/>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2"/>
        <w:rPr/>
      </w:pPr>
      <w:bookmarkStart w:colFirst="0" w:colLast="0" w:name="_83r8h3l01mi6" w:id="6"/>
      <w:bookmarkEnd w:id="6"/>
      <w:r w:rsidDel="00000000" w:rsidR="00000000" w:rsidRPr="00000000">
        <w:rPr>
          <w:rtl w:val="0"/>
        </w:rPr>
        <w:t xml:space="preserve">Conclusions:</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What gas is produced during the combustion of a candle? How can we identify this gas?</w:t>
      </w:r>
    </w:p>
    <w:p w:rsidR="00000000" w:rsidDel="00000000" w:rsidP="00000000" w:rsidRDefault="00000000" w:rsidRPr="00000000" w14:paraId="0000002A">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2C">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How does the combustion process affect the pH of water? What chemical reaction is responsible for this change?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numPr>
          <w:ilvl w:val="0"/>
          <w:numId w:val="1"/>
        </w:numPr>
        <w:ind w:left="720" w:hanging="360"/>
        <w:rPr>
          <w:u w:val="none"/>
        </w:rPr>
      </w:pPr>
      <w:r w:rsidDel="00000000" w:rsidR="00000000" w:rsidRPr="00000000">
        <w:rPr>
          <w:rtl w:val="0"/>
        </w:rPr>
        <w:t xml:space="preserve">How does bromothymol blue solution act as an indicator of pH changes in water? What does a color change from blue to yellow signify?</w:t>
      </w:r>
    </w:p>
    <w:p w:rsidR="00000000" w:rsidDel="00000000" w:rsidP="00000000" w:rsidRDefault="00000000" w:rsidRPr="00000000" w14:paraId="00000030">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numPr>
          <w:ilvl w:val="0"/>
          <w:numId w:val="1"/>
        </w:numPr>
        <w:ind w:left="720" w:hanging="360"/>
        <w:rPr>
          <w:u w:val="none"/>
        </w:rPr>
      </w:pPr>
      <w:r w:rsidDel="00000000" w:rsidR="00000000" w:rsidRPr="00000000">
        <w:pict>
          <v:rect style="width:0.0pt;height:1.5pt" o:hr="t" o:hrstd="t" o:hralign="center" fillcolor="#A0A0A0" stroked="f"/>
        </w:pict>
      </w:r>
      <w:r w:rsidDel="00000000" w:rsidR="00000000" w:rsidRPr="00000000">
        <w:rPr>
          <w:rtl w:val="0"/>
        </w:rPr>
        <w:t xml:space="preserve">Identify four human activities that contribute to the combustion of fossil fuels. How do these activities impact the environment?</w:t>
      </w:r>
    </w:p>
    <w:p w:rsidR="00000000" w:rsidDel="00000000" w:rsidP="00000000" w:rsidRDefault="00000000" w:rsidRPr="00000000" w14:paraId="00000032">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4">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numPr>
          <w:ilvl w:val="0"/>
          <w:numId w:val="1"/>
        </w:numPr>
        <w:ind w:left="720" w:hanging="360"/>
        <w:rPr>
          <w:u w:val="none"/>
        </w:rPr>
      </w:pPr>
      <w:r w:rsidDel="00000000" w:rsidR="00000000" w:rsidRPr="00000000">
        <w:rPr>
          <w:rtl w:val="0"/>
        </w:rPr>
        <w:t xml:space="preserve">How does this experiment model the impact of human activities on the carbon cycle and ocean acidification?</w:t>
      </w:r>
    </w:p>
    <w:p w:rsidR="00000000" w:rsidDel="00000000" w:rsidP="00000000" w:rsidRDefault="00000000" w:rsidRPr="00000000" w14:paraId="00000036">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8">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numPr>
          <w:ilvl w:val="0"/>
          <w:numId w:val="1"/>
        </w:numPr>
        <w:ind w:left="720" w:hanging="360"/>
        <w:rPr>
          <w:u w:val="none"/>
        </w:rPr>
      </w:pPr>
      <w:r w:rsidDel="00000000" w:rsidR="00000000" w:rsidRPr="00000000">
        <w:rPr>
          <w:rtl w:val="0"/>
        </w:rPr>
        <w:t xml:space="preserve">What does the test tube represent in this model?</w:t>
      </w:r>
    </w:p>
    <w:p w:rsidR="00000000" w:rsidDel="00000000" w:rsidP="00000000" w:rsidRDefault="00000000" w:rsidRPr="00000000" w14:paraId="0000003A">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numPr>
          <w:ilvl w:val="0"/>
          <w:numId w:val="1"/>
        </w:numPr>
        <w:ind w:left="720" w:hanging="360"/>
        <w:rPr>
          <w:u w:val="none"/>
        </w:rPr>
      </w:pPr>
      <w:r w:rsidDel="00000000" w:rsidR="00000000" w:rsidRPr="00000000">
        <w:rPr>
          <w:rtl w:val="0"/>
        </w:rPr>
        <w:t xml:space="preserve">What do the air and water symbolize in this model?</w:t>
      </w:r>
    </w:p>
    <w:p w:rsidR="00000000" w:rsidDel="00000000" w:rsidP="00000000" w:rsidRDefault="00000000" w:rsidRPr="00000000" w14:paraId="0000003D">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F">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numPr>
          <w:ilvl w:val="0"/>
          <w:numId w:val="1"/>
        </w:numPr>
        <w:ind w:left="720" w:hanging="360"/>
        <w:rPr>
          <w:u w:val="none"/>
        </w:rPr>
      </w:pPr>
      <w:r w:rsidDel="00000000" w:rsidR="00000000" w:rsidRPr="00000000">
        <w:rPr>
          <w:rtl w:val="0"/>
        </w:rPr>
        <w:t xml:space="preserve">What does the burning of the candle represent in this model?</w:t>
      </w:r>
    </w:p>
    <w:p w:rsidR="00000000" w:rsidDel="00000000" w:rsidP="00000000" w:rsidRDefault="00000000" w:rsidRPr="00000000" w14:paraId="00000041">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43">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numPr>
          <w:ilvl w:val="0"/>
          <w:numId w:val="1"/>
        </w:numPr>
        <w:ind w:left="720" w:hanging="360"/>
        <w:rPr>
          <w:u w:val="none"/>
        </w:rPr>
      </w:pPr>
      <w:r w:rsidDel="00000000" w:rsidR="00000000" w:rsidRPr="00000000">
        <w:rPr>
          <w:rtl w:val="0"/>
        </w:rPr>
        <w:t xml:space="preserve">How does pouring the water into the combustion test tube relate to the movement of carbon dioxide in the ocean?</w:t>
      </w:r>
    </w:p>
    <w:p w:rsidR="00000000" w:rsidDel="00000000" w:rsidP="00000000" w:rsidRDefault="00000000" w:rsidRPr="00000000" w14:paraId="00000045">
      <w:pPr>
        <w:spacing w:before="0" w:line="276" w:lineRule="auto"/>
        <w:ind w:left="720" w:firstLine="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spacing w:before="0"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47">
      <w:pPr>
        <w:spacing w:before="0" w:line="276"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numPr>
          <w:ilvl w:val="0"/>
          <w:numId w:val="1"/>
        </w:numPr>
        <w:ind w:left="720" w:hanging="360"/>
        <w:rPr>
          <w:u w:val="none"/>
        </w:rPr>
      </w:pPr>
      <w:r w:rsidDel="00000000" w:rsidR="00000000" w:rsidRPr="00000000">
        <w:rPr>
          <w:rtl w:val="0"/>
        </w:rPr>
        <w:t xml:space="preserve">Propose solutions to reduce human-induced carbon dioxide emissions and their impact on ocean acidification.</w:t>
      </w:r>
    </w:p>
    <w:p w:rsidR="00000000" w:rsidDel="00000000" w:rsidP="00000000" w:rsidRDefault="00000000" w:rsidRPr="00000000" w14:paraId="00000049">
      <w:pPr>
        <w:spacing w:before="0" w:line="276" w:lineRule="auto"/>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B">
      <w:pPr>
        <w:spacing w:before="0" w:line="276" w:lineRule="auto"/>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D">
      <w:pPr>
        <w:spacing w:before="0" w:line="276" w:lineRule="auto"/>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spacing w:before="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F">
      <w:pPr>
        <w:spacing w:before="0" w:line="276" w:lineRule="auto"/>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sectPr>
      <w:headerReference r:id="rId9" w:type="default"/>
      <w:headerReference r:id="rId10" w:type="first"/>
      <w:footerReference r:id="rId11" w:type="first"/>
      <w:footerReference r:id="rId12"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Times New Roman"/>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6"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spacing w:before="0" w:line="276" w:lineRule="auto"/>
      <w:rPr>
        <w:rFonts w:ascii="Economica" w:cs="Economica" w:eastAsia="Economica" w:hAnsi="Economica"/>
      </w:rPr>
    </w:pPr>
    <w:r w:rsidDel="00000000" w:rsidR="00000000" w:rsidRPr="00000000">
      <w:rPr>
        <w:rFonts w:ascii="Arial" w:cs="Arial" w:eastAsia="Arial" w:hAnsi="Arial"/>
      </w:rPr>
      <w:drawing>
        <wp:inline distB="114300" distT="114300" distL="114300" distR="114300">
          <wp:extent cx="1600200" cy="506730"/>
          <wp:effectExtent b="0" l="0" r="0" t="0"/>
          <wp:docPr id="1"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600200" cy="506730"/>
                  </a:xfrm>
                  <a:prstGeom prst="rect"/>
                  <a:ln/>
                </pic:spPr>
              </pic:pic>
            </a:graphicData>
          </a:graphic>
        </wp:inline>
      </w:drawing>
    </w:r>
    <w:r w:rsidDel="00000000" w:rsidR="00000000" w:rsidRPr="00000000">
      <w:rPr>
        <w:rFonts w:ascii="Arial" w:cs="Arial" w:eastAsia="Arial" w:hAnsi="Arial"/>
        <w:rtl w:val="0"/>
      </w:rPr>
      <w:tab/>
      <w:tab/>
      <w:tab/>
      <w:tab/>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ab/>
      <w:tab/>
      <w:tab/>
    </w:r>
    <w:r w:rsidDel="00000000" w:rsidR="00000000" w:rsidRPr="00000000">
      <w:rPr>
        <w:rFonts w:ascii="Arial" w:cs="Arial" w:eastAsia="Arial" w:hAnsi="Arial"/>
      </w:rPr>
      <w:drawing>
        <wp:inline distB="114300" distT="114300" distL="114300" distR="114300">
          <wp:extent cx="1076325" cy="545213"/>
          <wp:effectExtent b="0" l="0" r="0" t="0"/>
          <wp:docPr id="5"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1076325" cy="545213"/>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footer line" id="2" name="image1.png"/>
          <a:graphic>
            <a:graphicData uri="http://schemas.openxmlformats.org/drawingml/2006/picture">
              <pic:pic>
                <pic:nvPicPr>
                  <pic:cNvPr descr="footer line" id="0" name="image1.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spacing w:before="0" w:line="276" w:lineRule="auto"/>
      <w:rPr/>
    </w:pPr>
    <w:hyperlink r:id="rId2">
      <w:r w:rsidDel="00000000" w:rsidR="00000000" w:rsidRPr="00000000">
        <w:rPr>
          <w:rFonts w:ascii="Times New Roman" w:cs="Times New Roman" w:eastAsia="Times New Roman" w:hAnsi="Times New Roman"/>
          <w:i w:val="1"/>
          <w:iCs w:val="1"/>
          <w:color w:val="1155cc"/>
          <w:sz w:val="20"/>
          <w:szCs w:val="20"/>
          <w:u w:val="single"/>
          <w:rtl w:val="0"/>
        </w:rPr>
        <w:t xml:space="preserve">This Lab is adapted from a lesson plan created by NJ SeaGrant</w:t>
      </w:r>
    </w:hyperlink>
    <w:r w:rsidDel="00000000" w:rsidR="00000000" w:rsidRPr="00000000">
      <w:rPr>
        <w:rFonts w:ascii="Times New Roman" w:cs="Times New Roman" w:eastAsia="Times New Roman" w:hAnsi="Times New Roman"/>
        <w:i w:val="1"/>
        <w:iCs w:val="1"/>
        <w:sz w:val="20"/>
        <w:szCs w:val="20"/>
        <w:rtl w:val="0"/>
      </w:rPr>
      <w:t xml:space="preserve">.</w:t>
      <w:tab/>
    </w: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pPr>
    <w:rPr>
      <w:b w:val="1"/>
      <w:bCs w:val="1"/>
      <w:sz w:val="32"/>
      <w:szCs w:val="32"/>
    </w:rPr>
  </w:style>
  <w:style w:type="paragraph" w:styleId="Heading2">
    <w:name w:val="heading 2"/>
    <w:basedOn w:val="Normal"/>
    <w:next w:val="Normal"/>
    <w:pPr>
      <w:pageBreakBefore w:val="0"/>
    </w:pPr>
    <w:rPr>
      <w:b w:val="1"/>
      <w:bCs w:val="1"/>
      <w:sz w:val="26"/>
      <w:szCs w:val="26"/>
    </w:rPr>
  </w:style>
  <w:style w:type="paragraph" w:styleId="Heading3">
    <w:name w:val="heading 3"/>
    <w:basedOn w:val="Normal"/>
    <w:next w:val="Normal"/>
    <w:pPr>
      <w:pageBreakBefore w:val="0"/>
      <w:ind w:left="-15" w:firstLine="0"/>
    </w:pPr>
    <w:rPr>
      <w:b w:val="1"/>
      <w:bCs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bCs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njseagrant.org/wp-content/uploads/2014/02/Ocean-Acidification.pdf"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 Id="rId3"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njseagrant.org/wp-content/uploads/2014/02/Ocean-Acidific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